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7EA4A" w14:textId="77777777" w:rsidR="00117EFF" w:rsidRDefault="00117EFF" w:rsidP="00117EFF">
      <w:pPr>
        <w:spacing w:before="161"/>
        <w:ind w:left="3754" w:hanging="2969"/>
        <w:rPr>
          <w:b/>
          <w:sz w:val="20"/>
        </w:rPr>
      </w:pPr>
      <w:r w:rsidRPr="009E32A0">
        <w:rPr>
          <w:b/>
          <w:color w:val="212529"/>
          <w:sz w:val="20"/>
          <w:u w:val="thick" w:color="212529"/>
          <w:lang w:val="es-CR"/>
        </w:rPr>
        <w:t xml:space="preserve">Caso Azul Rojas Marín y otra Vs. </w:t>
      </w:r>
      <w:r>
        <w:rPr>
          <w:b/>
          <w:color w:val="212529"/>
          <w:sz w:val="20"/>
          <w:u w:val="thick" w:color="212529"/>
        </w:rPr>
        <w:t xml:space="preserve">Perú: </w:t>
      </w:r>
      <w:proofErr w:type="spellStart"/>
      <w:r>
        <w:rPr>
          <w:b/>
          <w:color w:val="212529"/>
          <w:sz w:val="20"/>
          <w:u w:val="thick" w:color="212529"/>
        </w:rPr>
        <w:t>reparaciones</w:t>
      </w:r>
      <w:proofErr w:type="spellEnd"/>
      <w:r>
        <w:rPr>
          <w:b/>
          <w:color w:val="212529"/>
          <w:sz w:val="20"/>
          <w:u w:val="thick" w:color="212529"/>
        </w:rPr>
        <w:t xml:space="preserve"> </w:t>
      </w:r>
      <w:proofErr w:type="spellStart"/>
      <w:r>
        <w:rPr>
          <w:b/>
          <w:color w:val="212529"/>
          <w:sz w:val="20"/>
          <w:u w:val="thick" w:color="212529"/>
        </w:rPr>
        <w:t>pendientes</w:t>
      </w:r>
      <w:proofErr w:type="spellEnd"/>
      <w:r>
        <w:rPr>
          <w:b/>
          <w:color w:val="212529"/>
          <w:sz w:val="20"/>
          <w:u w:val="thick" w:color="212529"/>
        </w:rPr>
        <w:t xml:space="preserve"> de </w:t>
      </w:r>
      <w:proofErr w:type="spellStart"/>
      <w:r>
        <w:rPr>
          <w:b/>
          <w:color w:val="212529"/>
          <w:sz w:val="20"/>
          <w:u w:val="thick" w:color="212529"/>
        </w:rPr>
        <w:t>cumplimiento</w:t>
      </w:r>
      <w:proofErr w:type="spellEnd"/>
    </w:p>
    <w:p w14:paraId="5EB3D26D" w14:textId="77777777" w:rsidR="00117EFF" w:rsidRDefault="00117EFF" w:rsidP="00117EFF">
      <w:pPr>
        <w:pStyle w:val="Textoindependiente"/>
        <w:spacing w:before="10"/>
        <w:rPr>
          <w:b/>
          <w:sz w:val="11"/>
        </w:rPr>
      </w:pPr>
    </w:p>
    <w:p w14:paraId="339C8C9F" w14:textId="77777777" w:rsidR="00117EFF" w:rsidRPr="009E32A0" w:rsidRDefault="00117EFF" w:rsidP="00117EFF">
      <w:pPr>
        <w:pStyle w:val="Prrafodelista"/>
        <w:numPr>
          <w:ilvl w:val="0"/>
          <w:numId w:val="1"/>
        </w:numPr>
        <w:tabs>
          <w:tab w:val="left" w:pos="810"/>
        </w:tabs>
        <w:spacing w:before="100"/>
        <w:ind w:right="118" w:firstLine="0"/>
        <w:contextualSpacing w:val="0"/>
        <w:jc w:val="both"/>
        <w:rPr>
          <w:sz w:val="20"/>
          <w:lang w:val="es-CR"/>
        </w:rPr>
      </w:pPr>
      <w:r w:rsidRPr="009E32A0">
        <w:rPr>
          <w:sz w:val="20"/>
          <w:lang w:val="es-CR"/>
        </w:rPr>
        <w:t>Promoverá</w:t>
      </w:r>
      <w:r w:rsidRPr="009E32A0">
        <w:rPr>
          <w:spacing w:val="-17"/>
          <w:sz w:val="20"/>
          <w:lang w:val="es-CR"/>
        </w:rPr>
        <w:t xml:space="preserve"> </w:t>
      </w:r>
      <w:r w:rsidRPr="009E32A0">
        <w:rPr>
          <w:sz w:val="20"/>
          <w:lang w:val="es-CR"/>
        </w:rPr>
        <w:t>y</w:t>
      </w:r>
      <w:r w:rsidRPr="009E32A0">
        <w:rPr>
          <w:spacing w:val="-15"/>
          <w:sz w:val="20"/>
          <w:lang w:val="es-CR"/>
        </w:rPr>
        <w:t xml:space="preserve"> </w:t>
      </w:r>
      <w:r w:rsidRPr="009E32A0">
        <w:rPr>
          <w:sz w:val="20"/>
          <w:lang w:val="es-CR"/>
        </w:rPr>
        <w:t>continuará</w:t>
      </w:r>
      <w:r w:rsidRPr="009E32A0">
        <w:rPr>
          <w:spacing w:val="-14"/>
          <w:sz w:val="20"/>
          <w:lang w:val="es-CR"/>
        </w:rPr>
        <w:t xml:space="preserve"> </w:t>
      </w:r>
      <w:r w:rsidRPr="009E32A0">
        <w:rPr>
          <w:sz w:val="20"/>
          <w:lang w:val="es-CR"/>
        </w:rPr>
        <w:t>las</w:t>
      </w:r>
      <w:r w:rsidRPr="009E32A0">
        <w:rPr>
          <w:spacing w:val="-18"/>
          <w:sz w:val="20"/>
          <w:lang w:val="es-CR"/>
        </w:rPr>
        <w:t xml:space="preserve"> </w:t>
      </w:r>
      <w:r w:rsidRPr="009E32A0">
        <w:rPr>
          <w:sz w:val="20"/>
          <w:lang w:val="es-CR"/>
        </w:rPr>
        <w:t>investigaciones</w:t>
      </w:r>
      <w:r w:rsidRPr="009E32A0">
        <w:rPr>
          <w:spacing w:val="-18"/>
          <w:sz w:val="20"/>
          <w:lang w:val="es-CR"/>
        </w:rPr>
        <w:t xml:space="preserve"> </w:t>
      </w:r>
      <w:r w:rsidRPr="009E32A0">
        <w:rPr>
          <w:sz w:val="20"/>
          <w:lang w:val="es-CR"/>
        </w:rPr>
        <w:t>que</w:t>
      </w:r>
      <w:r w:rsidRPr="009E32A0">
        <w:rPr>
          <w:spacing w:val="-16"/>
          <w:sz w:val="20"/>
          <w:lang w:val="es-CR"/>
        </w:rPr>
        <w:t xml:space="preserve"> </w:t>
      </w:r>
      <w:r w:rsidRPr="009E32A0">
        <w:rPr>
          <w:sz w:val="20"/>
          <w:lang w:val="es-CR"/>
        </w:rPr>
        <w:t>sean</w:t>
      </w:r>
      <w:r w:rsidRPr="009E32A0">
        <w:rPr>
          <w:spacing w:val="-16"/>
          <w:sz w:val="20"/>
          <w:lang w:val="es-CR"/>
        </w:rPr>
        <w:t xml:space="preserve"> </w:t>
      </w:r>
      <w:r w:rsidRPr="009E32A0">
        <w:rPr>
          <w:sz w:val="20"/>
          <w:lang w:val="es-CR"/>
        </w:rPr>
        <w:t>necesarias</w:t>
      </w:r>
      <w:r w:rsidRPr="009E32A0">
        <w:rPr>
          <w:spacing w:val="-18"/>
          <w:sz w:val="20"/>
          <w:lang w:val="es-CR"/>
        </w:rPr>
        <w:t xml:space="preserve"> </w:t>
      </w:r>
      <w:r w:rsidRPr="009E32A0">
        <w:rPr>
          <w:sz w:val="20"/>
          <w:lang w:val="es-CR"/>
        </w:rPr>
        <w:t>para</w:t>
      </w:r>
      <w:r w:rsidRPr="009E32A0">
        <w:rPr>
          <w:spacing w:val="-14"/>
          <w:sz w:val="20"/>
          <w:lang w:val="es-CR"/>
        </w:rPr>
        <w:t xml:space="preserve"> </w:t>
      </w:r>
      <w:r w:rsidRPr="009E32A0">
        <w:rPr>
          <w:sz w:val="20"/>
          <w:lang w:val="es-CR"/>
        </w:rPr>
        <w:t>determinar, juzgar,</w:t>
      </w:r>
      <w:r w:rsidRPr="009E32A0">
        <w:rPr>
          <w:spacing w:val="-13"/>
          <w:sz w:val="20"/>
          <w:lang w:val="es-CR"/>
        </w:rPr>
        <w:t xml:space="preserve"> </w:t>
      </w:r>
      <w:r w:rsidRPr="009E32A0">
        <w:rPr>
          <w:sz w:val="20"/>
          <w:lang w:val="es-CR"/>
        </w:rPr>
        <w:t>y,</w:t>
      </w:r>
      <w:r w:rsidRPr="009E32A0">
        <w:rPr>
          <w:spacing w:val="-11"/>
          <w:sz w:val="20"/>
          <w:lang w:val="es-CR"/>
        </w:rPr>
        <w:t xml:space="preserve"> </w:t>
      </w:r>
      <w:r w:rsidRPr="009E32A0">
        <w:rPr>
          <w:sz w:val="20"/>
          <w:lang w:val="es-CR"/>
        </w:rPr>
        <w:t>en</w:t>
      </w:r>
      <w:r w:rsidRPr="009E32A0">
        <w:rPr>
          <w:spacing w:val="-9"/>
          <w:sz w:val="20"/>
          <w:lang w:val="es-CR"/>
        </w:rPr>
        <w:t xml:space="preserve"> </w:t>
      </w:r>
      <w:r w:rsidRPr="009E32A0">
        <w:rPr>
          <w:sz w:val="20"/>
          <w:lang w:val="es-CR"/>
        </w:rPr>
        <w:t>su</w:t>
      </w:r>
      <w:r w:rsidRPr="009E32A0">
        <w:rPr>
          <w:spacing w:val="-12"/>
          <w:sz w:val="20"/>
          <w:lang w:val="es-CR"/>
        </w:rPr>
        <w:t xml:space="preserve"> </w:t>
      </w:r>
      <w:r w:rsidRPr="009E32A0">
        <w:rPr>
          <w:sz w:val="20"/>
          <w:lang w:val="es-CR"/>
        </w:rPr>
        <w:t>caso,</w:t>
      </w:r>
      <w:r w:rsidRPr="009E32A0">
        <w:rPr>
          <w:spacing w:val="-11"/>
          <w:sz w:val="20"/>
          <w:lang w:val="es-CR"/>
        </w:rPr>
        <w:t xml:space="preserve"> </w:t>
      </w:r>
      <w:r w:rsidRPr="009E32A0">
        <w:rPr>
          <w:sz w:val="20"/>
          <w:lang w:val="es-CR"/>
        </w:rPr>
        <w:t>sancionar</w:t>
      </w:r>
      <w:r w:rsidRPr="009E32A0">
        <w:rPr>
          <w:spacing w:val="-14"/>
          <w:sz w:val="20"/>
          <w:lang w:val="es-CR"/>
        </w:rPr>
        <w:t xml:space="preserve"> </w:t>
      </w:r>
      <w:r w:rsidRPr="009E32A0">
        <w:rPr>
          <w:sz w:val="20"/>
          <w:lang w:val="es-CR"/>
        </w:rPr>
        <w:t>a</w:t>
      </w:r>
      <w:r w:rsidRPr="009E32A0">
        <w:rPr>
          <w:spacing w:val="-10"/>
          <w:sz w:val="20"/>
          <w:lang w:val="es-CR"/>
        </w:rPr>
        <w:t xml:space="preserve"> </w:t>
      </w:r>
      <w:r w:rsidRPr="009E32A0">
        <w:rPr>
          <w:sz w:val="20"/>
          <w:lang w:val="es-CR"/>
        </w:rPr>
        <w:t>los</w:t>
      </w:r>
      <w:r w:rsidRPr="009E32A0">
        <w:rPr>
          <w:spacing w:val="-11"/>
          <w:sz w:val="20"/>
          <w:lang w:val="es-CR"/>
        </w:rPr>
        <w:t xml:space="preserve"> </w:t>
      </w:r>
      <w:r w:rsidRPr="009E32A0">
        <w:rPr>
          <w:sz w:val="20"/>
          <w:lang w:val="es-CR"/>
        </w:rPr>
        <w:t>responsables</w:t>
      </w:r>
      <w:r w:rsidRPr="009E32A0">
        <w:rPr>
          <w:spacing w:val="-13"/>
          <w:sz w:val="20"/>
          <w:lang w:val="es-CR"/>
        </w:rPr>
        <w:t xml:space="preserve"> </w:t>
      </w:r>
      <w:r w:rsidRPr="009E32A0">
        <w:rPr>
          <w:sz w:val="20"/>
          <w:lang w:val="es-CR"/>
        </w:rPr>
        <w:t>por</w:t>
      </w:r>
      <w:r w:rsidRPr="009E32A0">
        <w:rPr>
          <w:spacing w:val="-11"/>
          <w:sz w:val="20"/>
          <w:lang w:val="es-CR"/>
        </w:rPr>
        <w:t xml:space="preserve"> </w:t>
      </w:r>
      <w:r w:rsidRPr="009E32A0">
        <w:rPr>
          <w:sz w:val="20"/>
          <w:lang w:val="es-CR"/>
        </w:rPr>
        <w:t>los</w:t>
      </w:r>
      <w:r w:rsidRPr="009E32A0">
        <w:rPr>
          <w:spacing w:val="-13"/>
          <w:sz w:val="20"/>
          <w:lang w:val="es-CR"/>
        </w:rPr>
        <w:t xml:space="preserve"> </w:t>
      </w:r>
      <w:r w:rsidRPr="009E32A0">
        <w:rPr>
          <w:sz w:val="20"/>
          <w:lang w:val="es-CR"/>
        </w:rPr>
        <w:t>hechos</w:t>
      </w:r>
      <w:r w:rsidRPr="009E32A0">
        <w:rPr>
          <w:spacing w:val="-13"/>
          <w:sz w:val="20"/>
          <w:lang w:val="es-CR"/>
        </w:rPr>
        <w:t xml:space="preserve"> </w:t>
      </w:r>
      <w:r w:rsidRPr="009E32A0">
        <w:rPr>
          <w:sz w:val="20"/>
          <w:lang w:val="es-CR"/>
        </w:rPr>
        <w:t>de</w:t>
      </w:r>
      <w:r w:rsidRPr="009E32A0">
        <w:rPr>
          <w:spacing w:val="-14"/>
          <w:sz w:val="20"/>
          <w:lang w:val="es-CR"/>
        </w:rPr>
        <w:t xml:space="preserve"> </w:t>
      </w:r>
      <w:r w:rsidRPr="009E32A0">
        <w:rPr>
          <w:sz w:val="20"/>
          <w:lang w:val="es-CR"/>
        </w:rPr>
        <w:t>tortura</w:t>
      </w:r>
      <w:r w:rsidRPr="009E32A0">
        <w:rPr>
          <w:spacing w:val="-12"/>
          <w:sz w:val="20"/>
          <w:lang w:val="es-CR"/>
        </w:rPr>
        <w:t xml:space="preserve"> </w:t>
      </w:r>
      <w:r w:rsidRPr="009E32A0">
        <w:rPr>
          <w:sz w:val="20"/>
          <w:lang w:val="es-CR"/>
        </w:rPr>
        <w:t>en</w:t>
      </w:r>
      <w:r w:rsidRPr="009E32A0">
        <w:rPr>
          <w:spacing w:val="-11"/>
          <w:sz w:val="20"/>
          <w:lang w:val="es-CR"/>
        </w:rPr>
        <w:t xml:space="preserve"> </w:t>
      </w:r>
      <w:r w:rsidRPr="009E32A0">
        <w:rPr>
          <w:sz w:val="20"/>
          <w:lang w:val="es-CR"/>
        </w:rPr>
        <w:t>perjuicio de Azul Rojas Marín, en los términos de los párrafos 228 y 229 de la</w:t>
      </w:r>
      <w:r w:rsidRPr="009E32A0">
        <w:rPr>
          <w:spacing w:val="-33"/>
          <w:sz w:val="20"/>
          <w:lang w:val="es-CR"/>
        </w:rPr>
        <w:t xml:space="preserve"> </w:t>
      </w:r>
      <w:r w:rsidRPr="009E32A0">
        <w:rPr>
          <w:sz w:val="20"/>
          <w:lang w:val="es-CR"/>
        </w:rPr>
        <w:t>Sentencia.</w:t>
      </w:r>
    </w:p>
    <w:p w14:paraId="17CB6E41" w14:textId="77777777" w:rsidR="00117EFF" w:rsidRPr="009E32A0" w:rsidRDefault="00117EFF" w:rsidP="00117EFF">
      <w:pPr>
        <w:pStyle w:val="Textoindependiente"/>
        <w:spacing w:before="1"/>
        <w:rPr>
          <w:lang w:val="es-CR"/>
        </w:rPr>
      </w:pPr>
    </w:p>
    <w:p w14:paraId="3EC6E199" w14:textId="77777777" w:rsidR="00117EFF" w:rsidRPr="009E32A0" w:rsidRDefault="00117EFF" w:rsidP="00117EFF">
      <w:pPr>
        <w:pStyle w:val="Prrafodelista"/>
        <w:numPr>
          <w:ilvl w:val="0"/>
          <w:numId w:val="1"/>
        </w:numPr>
        <w:tabs>
          <w:tab w:val="left" w:pos="810"/>
        </w:tabs>
        <w:ind w:right="120" w:firstLine="0"/>
        <w:contextualSpacing w:val="0"/>
        <w:jc w:val="both"/>
        <w:rPr>
          <w:sz w:val="20"/>
          <w:lang w:val="es-CR"/>
        </w:rPr>
      </w:pPr>
      <w:r w:rsidRPr="009E32A0">
        <w:rPr>
          <w:sz w:val="20"/>
          <w:lang w:val="es-CR"/>
        </w:rPr>
        <w:t>Brindar gratuitamente, y de forma inmediata, oportuna, adecuada y efectiva, tratamiento médico y psicológico y/o psiquiátrico a Azul Rojas Marín, de conformidad con lo establecido en los párrafos 236 y 237 de la</w:t>
      </w:r>
      <w:r w:rsidRPr="009E32A0">
        <w:rPr>
          <w:spacing w:val="-29"/>
          <w:sz w:val="20"/>
          <w:lang w:val="es-CR"/>
        </w:rPr>
        <w:t xml:space="preserve"> </w:t>
      </w:r>
      <w:r w:rsidRPr="009E32A0">
        <w:rPr>
          <w:sz w:val="20"/>
          <w:lang w:val="es-CR"/>
        </w:rPr>
        <w:t>Sentencia.</w:t>
      </w:r>
    </w:p>
    <w:p w14:paraId="6EC989BD" w14:textId="77777777" w:rsidR="00117EFF" w:rsidRPr="009E32A0" w:rsidRDefault="00117EFF" w:rsidP="00117EFF">
      <w:pPr>
        <w:pStyle w:val="Textoindependiente"/>
        <w:spacing w:before="7"/>
        <w:rPr>
          <w:sz w:val="21"/>
          <w:lang w:val="es-CR"/>
        </w:rPr>
      </w:pPr>
    </w:p>
    <w:p w14:paraId="44B60BB9" w14:textId="77777777" w:rsidR="00117EFF" w:rsidRPr="009E32A0" w:rsidRDefault="00117EFF" w:rsidP="00117EFF">
      <w:pPr>
        <w:pStyle w:val="Prrafodelista"/>
        <w:numPr>
          <w:ilvl w:val="0"/>
          <w:numId w:val="1"/>
        </w:numPr>
        <w:tabs>
          <w:tab w:val="left" w:pos="810"/>
        </w:tabs>
        <w:ind w:right="119" w:firstLine="0"/>
        <w:contextualSpacing w:val="0"/>
        <w:jc w:val="both"/>
        <w:rPr>
          <w:sz w:val="20"/>
          <w:lang w:val="es-CR"/>
        </w:rPr>
      </w:pPr>
      <w:r w:rsidRPr="009E32A0">
        <w:rPr>
          <w:sz w:val="20"/>
          <w:lang w:val="es-CR"/>
        </w:rPr>
        <w:t>Adoptar un protocolo de investigación y administración de justicia durante los procesos penales para casos de personas LGBTI víctimas de violencia, de conformidad con lo establecido en los párrafos 241 a 244 de la</w:t>
      </w:r>
      <w:r w:rsidRPr="009E32A0">
        <w:rPr>
          <w:spacing w:val="-29"/>
          <w:sz w:val="20"/>
          <w:lang w:val="es-CR"/>
        </w:rPr>
        <w:t xml:space="preserve"> </w:t>
      </w:r>
      <w:r w:rsidRPr="009E32A0">
        <w:rPr>
          <w:sz w:val="20"/>
          <w:lang w:val="es-CR"/>
        </w:rPr>
        <w:t>Sentencia.</w:t>
      </w:r>
    </w:p>
    <w:p w14:paraId="16EC9FFC" w14:textId="77777777" w:rsidR="00117EFF" w:rsidRPr="009E32A0" w:rsidRDefault="00117EFF" w:rsidP="00117EFF">
      <w:pPr>
        <w:pStyle w:val="Textoindependiente"/>
        <w:spacing w:before="7"/>
        <w:rPr>
          <w:sz w:val="21"/>
          <w:lang w:val="es-CR"/>
        </w:rPr>
      </w:pPr>
    </w:p>
    <w:p w14:paraId="0EC24FFB" w14:textId="77777777" w:rsidR="00117EFF" w:rsidRPr="009E32A0" w:rsidRDefault="00117EFF" w:rsidP="00117EFF">
      <w:pPr>
        <w:pStyle w:val="Prrafodelista"/>
        <w:numPr>
          <w:ilvl w:val="0"/>
          <w:numId w:val="1"/>
        </w:numPr>
        <w:tabs>
          <w:tab w:val="left" w:pos="880"/>
        </w:tabs>
        <w:ind w:right="121" w:firstLine="0"/>
        <w:contextualSpacing w:val="0"/>
        <w:jc w:val="both"/>
        <w:rPr>
          <w:sz w:val="20"/>
          <w:lang w:val="es-CR"/>
        </w:rPr>
      </w:pPr>
      <w:r w:rsidRPr="009E32A0">
        <w:rPr>
          <w:sz w:val="20"/>
          <w:lang w:val="es-CR"/>
        </w:rPr>
        <w:t>Crear e implementará un plan de capacitación y sensibilización, de conformidad con lo establecido en los párrafos 248 y 249 de la</w:t>
      </w:r>
      <w:r w:rsidRPr="009E32A0">
        <w:rPr>
          <w:spacing w:val="-29"/>
          <w:sz w:val="20"/>
          <w:lang w:val="es-CR"/>
        </w:rPr>
        <w:t xml:space="preserve"> </w:t>
      </w:r>
      <w:r w:rsidRPr="009E32A0">
        <w:rPr>
          <w:sz w:val="20"/>
          <w:lang w:val="es-CR"/>
        </w:rPr>
        <w:t>Sentencia.</w:t>
      </w:r>
    </w:p>
    <w:p w14:paraId="4F8303F5" w14:textId="77777777" w:rsidR="00117EFF" w:rsidRPr="009E32A0" w:rsidRDefault="00117EFF" w:rsidP="00117EFF">
      <w:pPr>
        <w:pStyle w:val="Textoindependiente"/>
        <w:spacing w:before="7"/>
        <w:rPr>
          <w:sz w:val="21"/>
          <w:lang w:val="es-CR"/>
        </w:rPr>
      </w:pPr>
    </w:p>
    <w:p w14:paraId="703BBB8C" w14:textId="77777777" w:rsidR="00117EFF" w:rsidRPr="009E32A0" w:rsidRDefault="00117EFF" w:rsidP="00117EFF">
      <w:pPr>
        <w:pStyle w:val="Prrafodelista"/>
        <w:numPr>
          <w:ilvl w:val="0"/>
          <w:numId w:val="1"/>
        </w:numPr>
        <w:tabs>
          <w:tab w:val="left" w:pos="880"/>
        </w:tabs>
        <w:ind w:right="116" w:firstLine="0"/>
        <w:contextualSpacing w:val="0"/>
        <w:jc w:val="both"/>
        <w:rPr>
          <w:sz w:val="20"/>
          <w:lang w:val="es-CR"/>
        </w:rPr>
      </w:pPr>
      <w:r w:rsidRPr="009E32A0">
        <w:rPr>
          <w:sz w:val="20"/>
          <w:lang w:val="es-CR"/>
        </w:rPr>
        <w:t>Diseñar</w:t>
      </w:r>
      <w:r w:rsidRPr="009E32A0">
        <w:rPr>
          <w:spacing w:val="-5"/>
          <w:sz w:val="20"/>
          <w:lang w:val="es-CR"/>
        </w:rPr>
        <w:t xml:space="preserve"> </w:t>
      </w:r>
      <w:r w:rsidRPr="009E32A0">
        <w:rPr>
          <w:sz w:val="20"/>
          <w:lang w:val="es-CR"/>
        </w:rPr>
        <w:t>e</w:t>
      </w:r>
      <w:r w:rsidRPr="009E32A0">
        <w:rPr>
          <w:spacing w:val="-8"/>
          <w:sz w:val="20"/>
          <w:lang w:val="es-CR"/>
        </w:rPr>
        <w:t xml:space="preserve"> </w:t>
      </w:r>
      <w:r w:rsidRPr="009E32A0">
        <w:rPr>
          <w:sz w:val="20"/>
          <w:lang w:val="es-CR"/>
        </w:rPr>
        <w:t>implementará,</w:t>
      </w:r>
      <w:r w:rsidRPr="009E32A0">
        <w:rPr>
          <w:spacing w:val="-7"/>
          <w:sz w:val="20"/>
          <w:lang w:val="es-CR"/>
        </w:rPr>
        <w:t xml:space="preserve"> </w:t>
      </w:r>
      <w:r w:rsidRPr="009E32A0">
        <w:rPr>
          <w:sz w:val="20"/>
          <w:lang w:val="es-CR"/>
        </w:rPr>
        <w:t>un</w:t>
      </w:r>
      <w:r w:rsidRPr="009E32A0">
        <w:rPr>
          <w:spacing w:val="-5"/>
          <w:sz w:val="20"/>
          <w:lang w:val="es-CR"/>
        </w:rPr>
        <w:t xml:space="preserve"> </w:t>
      </w:r>
      <w:r w:rsidRPr="009E32A0">
        <w:rPr>
          <w:sz w:val="20"/>
          <w:lang w:val="es-CR"/>
        </w:rPr>
        <w:t>sistema</w:t>
      </w:r>
      <w:r w:rsidRPr="009E32A0">
        <w:rPr>
          <w:spacing w:val="-6"/>
          <w:sz w:val="20"/>
          <w:lang w:val="es-CR"/>
        </w:rPr>
        <w:t xml:space="preserve"> </w:t>
      </w:r>
      <w:r w:rsidRPr="009E32A0">
        <w:rPr>
          <w:sz w:val="20"/>
          <w:lang w:val="es-CR"/>
        </w:rPr>
        <w:t>de</w:t>
      </w:r>
      <w:r w:rsidRPr="009E32A0">
        <w:rPr>
          <w:spacing w:val="-5"/>
          <w:sz w:val="20"/>
          <w:lang w:val="es-CR"/>
        </w:rPr>
        <w:t xml:space="preserve"> </w:t>
      </w:r>
      <w:r w:rsidRPr="009E32A0">
        <w:rPr>
          <w:sz w:val="20"/>
          <w:lang w:val="es-CR"/>
        </w:rPr>
        <w:t>recopilación</w:t>
      </w:r>
      <w:r w:rsidRPr="009E32A0">
        <w:rPr>
          <w:spacing w:val="-5"/>
          <w:sz w:val="20"/>
          <w:lang w:val="es-CR"/>
        </w:rPr>
        <w:t xml:space="preserve"> </w:t>
      </w:r>
      <w:r w:rsidRPr="009E32A0">
        <w:rPr>
          <w:sz w:val="20"/>
          <w:lang w:val="es-CR"/>
        </w:rPr>
        <w:t>de</w:t>
      </w:r>
      <w:r w:rsidRPr="009E32A0">
        <w:rPr>
          <w:spacing w:val="-8"/>
          <w:sz w:val="20"/>
          <w:lang w:val="es-CR"/>
        </w:rPr>
        <w:t xml:space="preserve"> </w:t>
      </w:r>
      <w:r w:rsidRPr="009E32A0">
        <w:rPr>
          <w:sz w:val="20"/>
          <w:lang w:val="es-CR"/>
        </w:rPr>
        <w:t>datos</w:t>
      </w:r>
      <w:r w:rsidRPr="009E32A0">
        <w:rPr>
          <w:spacing w:val="-5"/>
          <w:sz w:val="20"/>
          <w:lang w:val="es-CR"/>
        </w:rPr>
        <w:t xml:space="preserve"> </w:t>
      </w:r>
      <w:r w:rsidRPr="009E32A0">
        <w:rPr>
          <w:sz w:val="20"/>
          <w:lang w:val="es-CR"/>
        </w:rPr>
        <w:t>y</w:t>
      </w:r>
      <w:r w:rsidRPr="009E32A0">
        <w:rPr>
          <w:spacing w:val="-7"/>
          <w:sz w:val="20"/>
          <w:lang w:val="es-CR"/>
        </w:rPr>
        <w:t xml:space="preserve"> </w:t>
      </w:r>
      <w:r w:rsidRPr="009E32A0">
        <w:rPr>
          <w:sz w:val="20"/>
          <w:lang w:val="es-CR"/>
        </w:rPr>
        <w:t>cifras</w:t>
      </w:r>
      <w:r w:rsidRPr="009E32A0">
        <w:rPr>
          <w:spacing w:val="-5"/>
          <w:sz w:val="20"/>
          <w:lang w:val="es-CR"/>
        </w:rPr>
        <w:t xml:space="preserve"> </w:t>
      </w:r>
      <w:r w:rsidRPr="009E32A0">
        <w:rPr>
          <w:sz w:val="20"/>
          <w:lang w:val="es-CR"/>
        </w:rPr>
        <w:t>vinculadas a los casos de violencia contra las personas LGBTI, de conformidad con lo establecido en el párrafo 252 de la</w:t>
      </w:r>
      <w:r w:rsidRPr="009E32A0">
        <w:rPr>
          <w:spacing w:val="-18"/>
          <w:sz w:val="20"/>
          <w:lang w:val="es-CR"/>
        </w:rPr>
        <w:t xml:space="preserve"> </w:t>
      </w:r>
      <w:r w:rsidRPr="009E32A0">
        <w:rPr>
          <w:sz w:val="20"/>
          <w:lang w:val="es-CR"/>
        </w:rPr>
        <w:t>Sentencia.</w:t>
      </w:r>
    </w:p>
    <w:p w14:paraId="3E96D921" w14:textId="77777777" w:rsidR="00117EFF" w:rsidRPr="009E32A0" w:rsidRDefault="00117EFF" w:rsidP="00117EFF">
      <w:pPr>
        <w:pStyle w:val="Textoindependiente"/>
        <w:spacing w:before="7"/>
        <w:rPr>
          <w:sz w:val="21"/>
          <w:lang w:val="es-CR"/>
        </w:rPr>
      </w:pPr>
    </w:p>
    <w:p w14:paraId="3C1496CA" w14:textId="77777777" w:rsidR="00117EFF" w:rsidRPr="009E32A0" w:rsidRDefault="00117EFF" w:rsidP="00117EFF">
      <w:pPr>
        <w:pStyle w:val="Prrafodelista"/>
        <w:numPr>
          <w:ilvl w:val="0"/>
          <w:numId w:val="1"/>
        </w:numPr>
        <w:tabs>
          <w:tab w:val="left" w:pos="880"/>
        </w:tabs>
        <w:ind w:right="119" w:firstLine="0"/>
        <w:contextualSpacing w:val="0"/>
        <w:jc w:val="both"/>
        <w:rPr>
          <w:sz w:val="20"/>
          <w:lang w:val="es-CR"/>
        </w:rPr>
      </w:pPr>
      <w:r w:rsidRPr="009E32A0">
        <w:rPr>
          <w:sz w:val="20"/>
          <w:lang w:val="es-CR"/>
        </w:rPr>
        <w:t>Eliminar de los Planes de Seguridad Ciudadana de las Regiones y Distritos del Perú el indicador de “erradicación de homosexuales y travestis, de conformidad con lo establecido en el párrafo 255 de la</w:t>
      </w:r>
      <w:r w:rsidRPr="009E32A0">
        <w:rPr>
          <w:spacing w:val="-26"/>
          <w:sz w:val="20"/>
          <w:lang w:val="es-CR"/>
        </w:rPr>
        <w:t xml:space="preserve"> </w:t>
      </w:r>
      <w:r w:rsidRPr="009E32A0">
        <w:rPr>
          <w:sz w:val="20"/>
          <w:lang w:val="es-CR"/>
        </w:rPr>
        <w:t>Sentencia.</w:t>
      </w:r>
    </w:p>
    <w:p w14:paraId="7CE98804" w14:textId="77777777" w:rsidR="00117EFF" w:rsidRPr="009E32A0" w:rsidRDefault="00117EFF" w:rsidP="00117EFF">
      <w:pPr>
        <w:pStyle w:val="Textoindependiente"/>
        <w:spacing w:before="7"/>
        <w:rPr>
          <w:sz w:val="21"/>
          <w:lang w:val="es-CR"/>
        </w:rPr>
      </w:pPr>
    </w:p>
    <w:p w14:paraId="2613E9FB" w14:textId="5FCAE28F" w:rsidR="00117EFF" w:rsidRDefault="00117EFF" w:rsidP="00117EFF">
      <w:pPr>
        <w:pStyle w:val="Prrafodelista"/>
        <w:numPr>
          <w:ilvl w:val="0"/>
          <w:numId w:val="1"/>
        </w:numPr>
        <w:tabs>
          <w:tab w:val="left" w:pos="810"/>
        </w:tabs>
        <w:ind w:right="119" w:firstLine="0"/>
        <w:contextualSpacing w:val="0"/>
        <w:jc w:val="both"/>
        <w:rPr>
          <w:sz w:val="20"/>
          <w:lang w:val="es-CR"/>
        </w:rPr>
      </w:pPr>
      <w:r w:rsidRPr="009E32A0">
        <w:rPr>
          <w:sz w:val="20"/>
          <w:lang w:val="es-CR"/>
        </w:rPr>
        <w:t>Pagar las cantidades fijadas en los párrafos 260</w:t>
      </w:r>
      <w:r w:rsidR="0013280E">
        <w:rPr>
          <w:sz w:val="20"/>
          <w:lang w:val="es-CR"/>
        </w:rPr>
        <w:t xml:space="preserve"> y</w:t>
      </w:r>
      <w:r w:rsidRPr="009E32A0">
        <w:rPr>
          <w:sz w:val="20"/>
          <w:lang w:val="es-CR"/>
        </w:rPr>
        <w:t xml:space="preserve"> 267 de la Sentencia</w:t>
      </w:r>
      <w:r w:rsidRPr="009E32A0">
        <w:rPr>
          <w:spacing w:val="-4"/>
          <w:sz w:val="20"/>
          <w:lang w:val="es-CR"/>
        </w:rPr>
        <w:t xml:space="preserve"> </w:t>
      </w:r>
      <w:r w:rsidRPr="009E32A0">
        <w:rPr>
          <w:sz w:val="20"/>
          <w:lang w:val="es-CR"/>
        </w:rPr>
        <w:t>por</w:t>
      </w:r>
      <w:r w:rsidRPr="009E32A0">
        <w:rPr>
          <w:spacing w:val="-5"/>
          <w:sz w:val="20"/>
          <w:lang w:val="es-CR"/>
        </w:rPr>
        <w:t xml:space="preserve"> </w:t>
      </w:r>
      <w:r w:rsidRPr="009E32A0">
        <w:rPr>
          <w:sz w:val="20"/>
          <w:lang w:val="es-CR"/>
        </w:rPr>
        <w:t>concepto</w:t>
      </w:r>
      <w:r w:rsidRPr="009E32A0">
        <w:rPr>
          <w:spacing w:val="-5"/>
          <w:sz w:val="20"/>
          <w:lang w:val="es-CR"/>
        </w:rPr>
        <w:t xml:space="preserve"> </w:t>
      </w:r>
      <w:r w:rsidRPr="009E32A0">
        <w:rPr>
          <w:sz w:val="20"/>
          <w:lang w:val="es-CR"/>
        </w:rPr>
        <w:t>de</w:t>
      </w:r>
      <w:r w:rsidRPr="009E32A0">
        <w:rPr>
          <w:spacing w:val="-8"/>
          <w:sz w:val="20"/>
          <w:lang w:val="es-CR"/>
        </w:rPr>
        <w:t xml:space="preserve"> </w:t>
      </w:r>
      <w:r w:rsidRPr="009E32A0">
        <w:rPr>
          <w:sz w:val="20"/>
          <w:lang w:val="es-CR"/>
        </w:rPr>
        <w:t>indemnización</w:t>
      </w:r>
      <w:r w:rsidRPr="009E32A0">
        <w:rPr>
          <w:spacing w:val="-5"/>
          <w:sz w:val="20"/>
          <w:lang w:val="es-CR"/>
        </w:rPr>
        <w:t xml:space="preserve"> </w:t>
      </w:r>
      <w:r w:rsidRPr="009E32A0">
        <w:rPr>
          <w:sz w:val="20"/>
          <w:lang w:val="es-CR"/>
        </w:rPr>
        <w:t>por</w:t>
      </w:r>
      <w:r w:rsidRPr="009E32A0">
        <w:rPr>
          <w:spacing w:val="-3"/>
          <w:sz w:val="20"/>
          <w:lang w:val="es-CR"/>
        </w:rPr>
        <w:t xml:space="preserve"> </w:t>
      </w:r>
      <w:r w:rsidRPr="009E32A0">
        <w:rPr>
          <w:sz w:val="20"/>
          <w:lang w:val="es-CR"/>
        </w:rPr>
        <w:t>concepto</w:t>
      </w:r>
      <w:r w:rsidRPr="009E32A0">
        <w:rPr>
          <w:spacing w:val="-5"/>
          <w:sz w:val="20"/>
          <w:lang w:val="es-CR"/>
        </w:rPr>
        <w:t xml:space="preserve"> </w:t>
      </w:r>
      <w:r w:rsidRPr="009E32A0">
        <w:rPr>
          <w:sz w:val="20"/>
          <w:lang w:val="es-CR"/>
        </w:rPr>
        <w:t>de</w:t>
      </w:r>
      <w:r w:rsidRPr="009E32A0">
        <w:rPr>
          <w:spacing w:val="-5"/>
          <w:sz w:val="20"/>
          <w:lang w:val="es-CR"/>
        </w:rPr>
        <w:t xml:space="preserve"> </w:t>
      </w:r>
      <w:r w:rsidRPr="009E32A0">
        <w:rPr>
          <w:sz w:val="20"/>
          <w:lang w:val="es-CR"/>
        </w:rPr>
        <w:t>daño</w:t>
      </w:r>
      <w:r w:rsidRPr="009E32A0">
        <w:rPr>
          <w:spacing w:val="-5"/>
          <w:sz w:val="20"/>
          <w:lang w:val="es-CR"/>
        </w:rPr>
        <w:t xml:space="preserve"> </w:t>
      </w:r>
      <w:r w:rsidRPr="009E32A0">
        <w:rPr>
          <w:sz w:val="20"/>
          <w:lang w:val="es-CR"/>
        </w:rPr>
        <w:t>material</w:t>
      </w:r>
      <w:r w:rsidRPr="009E32A0">
        <w:rPr>
          <w:spacing w:val="-4"/>
          <w:sz w:val="20"/>
          <w:lang w:val="es-CR"/>
        </w:rPr>
        <w:t xml:space="preserve"> </w:t>
      </w:r>
      <w:r w:rsidRPr="009E32A0">
        <w:rPr>
          <w:sz w:val="20"/>
          <w:lang w:val="es-CR"/>
        </w:rPr>
        <w:t>e</w:t>
      </w:r>
      <w:r w:rsidRPr="009E32A0">
        <w:rPr>
          <w:spacing w:val="-5"/>
          <w:sz w:val="20"/>
          <w:lang w:val="es-CR"/>
        </w:rPr>
        <w:t xml:space="preserve"> </w:t>
      </w:r>
      <w:r w:rsidRPr="009E32A0">
        <w:rPr>
          <w:sz w:val="20"/>
          <w:lang w:val="es-CR"/>
        </w:rPr>
        <w:t>inmaterial, en los términos de los párrafos 283 a 288 del</w:t>
      </w:r>
      <w:r w:rsidRPr="009E32A0">
        <w:rPr>
          <w:spacing w:val="-37"/>
          <w:sz w:val="20"/>
          <w:lang w:val="es-CR"/>
        </w:rPr>
        <w:t xml:space="preserve"> </w:t>
      </w:r>
      <w:r w:rsidRPr="009E32A0">
        <w:rPr>
          <w:sz w:val="20"/>
          <w:lang w:val="es-CR"/>
        </w:rPr>
        <w:t>Fallo.</w:t>
      </w:r>
    </w:p>
    <w:p w14:paraId="6CDBFA52" w14:textId="77777777" w:rsidR="0013280E" w:rsidRPr="0013280E" w:rsidRDefault="0013280E" w:rsidP="0013280E">
      <w:pPr>
        <w:pStyle w:val="Prrafodelista"/>
        <w:rPr>
          <w:sz w:val="20"/>
          <w:lang w:val="es-CR"/>
        </w:rPr>
      </w:pPr>
    </w:p>
    <w:p w14:paraId="5022D9C7" w14:textId="05626CE2" w:rsidR="0013280E" w:rsidRPr="009E32A0" w:rsidRDefault="0013280E" w:rsidP="0013280E">
      <w:pPr>
        <w:pStyle w:val="Prrafodelista"/>
        <w:numPr>
          <w:ilvl w:val="0"/>
          <w:numId w:val="1"/>
        </w:numPr>
        <w:tabs>
          <w:tab w:val="left" w:pos="810"/>
        </w:tabs>
        <w:ind w:right="119" w:firstLine="0"/>
        <w:contextualSpacing w:val="0"/>
        <w:jc w:val="both"/>
        <w:rPr>
          <w:sz w:val="20"/>
          <w:lang w:val="es-CR"/>
        </w:rPr>
      </w:pPr>
      <w:r w:rsidRPr="009E32A0">
        <w:rPr>
          <w:sz w:val="20"/>
          <w:lang w:val="es-CR"/>
        </w:rPr>
        <w:t xml:space="preserve">Pagar las cantidades fijadas en </w:t>
      </w:r>
      <w:r w:rsidR="00D30C5B">
        <w:rPr>
          <w:sz w:val="20"/>
          <w:lang w:val="es-CR"/>
        </w:rPr>
        <w:t>el</w:t>
      </w:r>
      <w:r w:rsidRPr="009E32A0">
        <w:rPr>
          <w:sz w:val="20"/>
          <w:lang w:val="es-CR"/>
        </w:rPr>
        <w:t xml:space="preserve"> párrafo 276 de la Sentencia</w:t>
      </w:r>
      <w:r w:rsidRPr="009E32A0">
        <w:rPr>
          <w:spacing w:val="-4"/>
          <w:sz w:val="20"/>
          <w:lang w:val="es-CR"/>
        </w:rPr>
        <w:t xml:space="preserve"> </w:t>
      </w:r>
      <w:r w:rsidRPr="009E32A0">
        <w:rPr>
          <w:sz w:val="20"/>
          <w:lang w:val="es-CR"/>
        </w:rPr>
        <w:t>por</w:t>
      </w:r>
      <w:r w:rsidRPr="009E32A0">
        <w:rPr>
          <w:spacing w:val="-5"/>
          <w:sz w:val="20"/>
          <w:lang w:val="es-CR"/>
        </w:rPr>
        <w:t xml:space="preserve"> </w:t>
      </w:r>
      <w:r w:rsidRPr="009E32A0">
        <w:rPr>
          <w:sz w:val="20"/>
          <w:lang w:val="es-CR"/>
        </w:rPr>
        <w:t>concepto</w:t>
      </w:r>
      <w:r w:rsidRPr="009E32A0">
        <w:rPr>
          <w:spacing w:val="-5"/>
          <w:sz w:val="20"/>
          <w:lang w:val="es-CR"/>
        </w:rPr>
        <w:t xml:space="preserve"> </w:t>
      </w:r>
      <w:r w:rsidRPr="009E32A0">
        <w:rPr>
          <w:sz w:val="20"/>
          <w:lang w:val="es-CR"/>
        </w:rPr>
        <w:t>de</w:t>
      </w:r>
      <w:r w:rsidRPr="009E32A0">
        <w:rPr>
          <w:spacing w:val="-8"/>
          <w:sz w:val="20"/>
          <w:lang w:val="es-CR"/>
        </w:rPr>
        <w:t xml:space="preserve"> </w:t>
      </w:r>
      <w:r w:rsidRPr="009E32A0">
        <w:rPr>
          <w:sz w:val="20"/>
          <w:lang w:val="es-CR"/>
        </w:rPr>
        <w:t>reintegro de costas y gastos, en los términos de los párrafos 283 a 288 del</w:t>
      </w:r>
      <w:r w:rsidRPr="009E32A0">
        <w:rPr>
          <w:spacing w:val="-37"/>
          <w:sz w:val="20"/>
          <w:lang w:val="es-CR"/>
        </w:rPr>
        <w:t xml:space="preserve"> </w:t>
      </w:r>
      <w:r w:rsidRPr="009E32A0">
        <w:rPr>
          <w:sz w:val="20"/>
          <w:lang w:val="es-CR"/>
        </w:rPr>
        <w:t>Fallo.</w:t>
      </w:r>
    </w:p>
    <w:p w14:paraId="2022A9E2" w14:textId="77777777" w:rsidR="0013280E" w:rsidRPr="009E32A0" w:rsidRDefault="0013280E" w:rsidP="0013280E">
      <w:pPr>
        <w:pStyle w:val="Prrafodelista"/>
        <w:tabs>
          <w:tab w:val="left" w:pos="810"/>
        </w:tabs>
        <w:ind w:left="101" w:right="119"/>
        <w:contextualSpacing w:val="0"/>
        <w:rPr>
          <w:sz w:val="20"/>
          <w:lang w:val="es-CR"/>
        </w:rPr>
      </w:pPr>
    </w:p>
    <w:p w14:paraId="650404A5" w14:textId="77777777" w:rsidR="00117EFF" w:rsidRPr="009E32A0" w:rsidRDefault="00117EFF" w:rsidP="00117EFF">
      <w:pPr>
        <w:pStyle w:val="Textoindependiente"/>
        <w:rPr>
          <w:lang w:val="es-CR"/>
        </w:rPr>
      </w:pPr>
    </w:p>
    <w:p w14:paraId="66330C33" w14:textId="77777777" w:rsidR="00117EFF" w:rsidRPr="009E32A0" w:rsidRDefault="00117EFF" w:rsidP="00117EFF">
      <w:pPr>
        <w:pStyle w:val="Textoindependiente"/>
        <w:rPr>
          <w:lang w:val="es-CR"/>
        </w:rPr>
      </w:pPr>
    </w:p>
    <w:p w14:paraId="2D5B36B0" w14:textId="77777777" w:rsidR="006F1C11" w:rsidRPr="00117EFF" w:rsidRDefault="006F1C11">
      <w:pPr>
        <w:rPr>
          <w:lang w:val="es-CR"/>
        </w:rPr>
      </w:pPr>
    </w:p>
    <w:sectPr w:rsidR="006F1C11" w:rsidRPr="00117EF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8C3A8" w14:textId="77777777" w:rsidR="00117EFF" w:rsidRDefault="00117EFF" w:rsidP="00117EFF">
      <w:r>
        <w:separator/>
      </w:r>
    </w:p>
  </w:endnote>
  <w:endnote w:type="continuationSeparator" w:id="0">
    <w:p w14:paraId="4C3863EE" w14:textId="77777777" w:rsidR="00117EFF" w:rsidRDefault="00117EFF" w:rsidP="0011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C5723" w14:textId="77777777" w:rsidR="00117EFF" w:rsidRPr="00117EFF" w:rsidRDefault="00117EFF" w:rsidP="00117EFF">
    <w:pPr>
      <w:pStyle w:val="Piedepgina"/>
      <w:jc w:val="both"/>
      <w:rPr>
        <w:sz w:val="16"/>
        <w:szCs w:val="16"/>
      </w:rPr>
    </w:pPr>
    <w:r w:rsidRPr="00117EFF">
      <w:rPr>
        <w:bCs/>
        <w:sz w:val="16"/>
        <w:szCs w:val="10"/>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F3D72A6" w14:textId="77777777" w:rsidR="00117EFF" w:rsidRDefault="00117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15871" w14:textId="77777777" w:rsidR="00117EFF" w:rsidRDefault="00117EFF" w:rsidP="00117EFF">
      <w:r>
        <w:separator/>
      </w:r>
    </w:p>
  </w:footnote>
  <w:footnote w:type="continuationSeparator" w:id="0">
    <w:p w14:paraId="3AAAA0A8" w14:textId="77777777" w:rsidR="00117EFF" w:rsidRDefault="00117EFF" w:rsidP="00117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85971634"/>
      <w:docPartObj>
        <w:docPartGallery w:val="Page Numbers (Top of Page)"/>
        <w:docPartUnique/>
      </w:docPartObj>
    </w:sdtPr>
    <w:sdtContent>
      <w:p w14:paraId="03E954A2" w14:textId="725AB86E" w:rsidR="003935AB" w:rsidRPr="003935AB" w:rsidRDefault="003935AB">
        <w:pPr>
          <w:pStyle w:val="Encabezado"/>
          <w:jc w:val="right"/>
          <w:rPr>
            <w:sz w:val="18"/>
            <w:szCs w:val="18"/>
          </w:rPr>
        </w:pPr>
        <w:r w:rsidRPr="003935AB">
          <w:rPr>
            <w:sz w:val="18"/>
            <w:szCs w:val="18"/>
          </w:rPr>
          <w:fldChar w:fldCharType="begin"/>
        </w:r>
        <w:r w:rsidRPr="003935AB">
          <w:rPr>
            <w:sz w:val="18"/>
            <w:szCs w:val="18"/>
          </w:rPr>
          <w:instrText>PAGE   \* MERGEFORMAT</w:instrText>
        </w:r>
        <w:r w:rsidRPr="003935AB">
          <w:rPr>
            <w:sz w:val="18"/>
            <w:szCs w:val="18"/>
          </w:rPr>
          <w:fldChar w:fldCharType="separate"/>
        </w:r>
        <w:r w:rsidRPr="003935AB">
          <w:rPr>
            <w:sz w:val="18"/>
            <w:szCs w:val="18"/>
            <w:lang w:val="es-ES"/>
          </w:rPr>
          <w:t>2</w:t>
        </w:r>
        <w:r w:rsidRPr="003935AB">
          <w:rPr>
            <w:sz w:val="18"/>
            <w:szCs w:val="18"/>
          </w:rPr>
          <w:fldChar w:fldCharType="end"/>
        </w:r>
      </w:p>
    </w:sdtContent>
  </w:sdt>
  <w:p w14:paraId="0010DB14" w14:textId="77777777" w:rsidR="003935AB" w:rsidRDefault="003935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B05FE"/>
    <w:multiLevelType w:val="hybridMultilevel"/>
    <w:tmpl w:val="1916A7E8"/>
    <w:lvl w:ilvl="0" w:tplc="F42AAB80">
      <w:start w:val="1"/>
      <w:numFmt w:val="decimal"/>
      <w:lvlText w:val="%1."/>
      <w:lvlJc w:val="left"/>
      <w:pPr>
        <w:ind w:left="101" w:hanging="708"/>
        <w:jc w:val="left"/>
      </w:pPr>
      <w:rPr>
        <w:rFonts w:ascii="Verdana" w:eastAsia="Verdana" w:hAnsi="Verdana" w:cs="Verdana" w:hint="default"/>
        <w:w w:val="99"/>
        <w:sz w:val="20"/>
        <w:szCs w:val="20"/>
      </w:rPr>
    </w:lvl>
    <w:lvl w:ilvl="1" w:tplc="F93C25BC">
      <w:numFmt w:val="bullet"/>
      <w:lvlText w:val="•"/>
      <w:lvlJc w:val="left"/>
      <w:pPr>
        <w:ind w:left="996" w:hanging="708"/>
      </w:pPr>
      <w:rPr>
        <w:rFonts w:hint="default"/>
      </w:rPr>
    </w:lvl>
    <w:lvl w:ilvl="2" w:tplc="1F960E18">
      <w:numFmt w:val="bullet"/>
      <w:lvlText w:val="•"/>
      <w:lvlJc w:val="left"/>
      <w:pPr>
        <w:ind w:left="1892" w:hanging="708"/>
      </w:pPr>
      <w:rPr>
        <w:rFonts w:hint="default"/>
      </w:rPr>
    </w:lvl>
    <w:lvl w:ilvl="3" w:tplc="ED488A22">
      <w:numFmt w:val="bullet"/>
      <w:lvlText w:val="•"/>
      <w:lvlJc w:val="left"/>
      <w:pPr>
        <w:ind w:left="2788" w:hanging="708"/>
      </w:pPr>
      <w:rPr>
        <w:rFonts w:hint="default"/>
      </w:rPr>
    </w:lvl>
    <w:lvl w:ilvl="4" w:tplc="9C3C1F02">
      <w:numFmt w:val="bullet"/>
      <w:lvlText w:val="•"/>
      <w:lvlJc w:val="left"/>
      <w:pPr>
        <w:ind w:left="3684" w:hanging="708"/>
      </w:pPr>
      <w:rPr>
        <w:rFonts w:hint="default"/>
      </w:rPr>
    </w:lvl>
    <w:lvl w:ilvl="5" w:tplc="D658AC52">
      <w:numFmt w:val="bullet"/>
      <w:lvlText w:val="•"/>
      <w:lvlJc w:val="left"/>
      <w:pPr>
        <w:ind w:left="4580" w:hanging="708"/>
      </w:pPr>
      <w:rPr>
        <w:rFonts w:hint="default"/>
      </w:rPr>
    </w:lvl>
    <w:lvl w:ilvl="6" w:tplc="4BF66BA6">
      <w:numFmt w:val="bullet"/>
      <w:lvlText w:val="•"/>
      <w:lvlJc w:val="left"/>
      <w:pPr>
        <w:ind w:left="5476" w:hanging="708"/>
      </w:pPr>
      <w:rPr>
        <w:rFonts w:hint="default"/>
      </w:rPr>
    </w:lvl>
    <w:lvl w:ilvl="7" w:tplc="5AB2E756">
      <w:numFmt w:val="bullet"/>
      <w:lvlText w:val="•"/>
      <w:lvlJc w:val="left"/>
      <w:pPr>
        <w:ind w:left="6372" w:hanging="708"/>
      </w:pPr>
      <w:rPr>
        <w:rFonts w:hint="default"/>
      </w:rPr>
    </w:lvl>
    <w:lvl w:ilvl="8" w:tplc="4F38AE06">
      <w:numFmt w:val="bullet"/>
      <w:lvlText w:val="•"/>
      <w:lvlJc w:val="left"/>
      <w:pPr>
        <w:ind w:left="7268" w:hanging="708"/>
      </w:pPr>
      <w:rPr>
        <w:rFonts w:hint="default"/>
      </w:rPr>
    </w:lvl>
  </w:abstractNum>
  <w:num w:numId="1" w16cid:durableId="91725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FF"/>
    <w:rsid w:val="00117EFF"/>
    <w:rsid w:val="0013280E"/>
    <w:rsid w:val="003935AB"/>
    <w:rsid w:val="004E35F0"/>
    <w:rsid w:val="006F1C11"/>
    <w:rsid w:val="00D30C5B"/>
    <w:rsid w:val="00DE3649"/>
    <w:rsid w:val="00F861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1D55"/>
  <w15:chartTrackingRefBased/>
  <w15:docId w15:val="{415F639E-2EA6-44A6-9F6F-45F74593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EFF"/>
    <w:pPr>
      <w:widowControl w:val="0"/>
      <w:autoSpaceDE w:val="0"/>
      <w:autoSpaceDN w:val="0"/>
      <w:spacing w:after="0" w:line="240" w:lineRule="auto"/>
    </w:pPr>
    <w:rPr>
      <w:rFonts w:ascii="Verdana" w:eastAsia="Verdana" w:hAnsi="Verdana" w:cs="Verdana"/>
      <w:kern w:val="0"/>
      <w:lang w:val="en-US"/>
      <w14:ligatures w14:val="none"/>
    </w:rPr>
  </w:style>
  <w:style w:type="paragraph" w:styleId="Ttulo1">
    <w:name w:val="heading 1"/>
    <w:basedOn w:val="Normal"/>
    <w:next w:val="Normal"/>
    <w:link w:val="Ttulo1Car"/>
    <w:uiPriority w:val="9"/>
    <w:qFormat/>
    <w:rsid w:val="00117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17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17E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17E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17E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17EF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17EF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17EF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17EF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7E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17E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17E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17E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17E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17E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17E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17E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17EFF"/>
    <w:rPr>
      <w:rFonts w:eastAsiaTheme="majorEastAsia" w:cstheme="majorBidi"/>
      <w:color w:val="272727" w:themeColor="text1" w:themeTint="D8"/>
    </w:rPr>
  </w:style>
  <w:style w:type="paragraph" w:styleId="Ttulo">
    <w:name w:val="Title"/>
    <w:basedOn w:val="Normal"/>
    <w:next w:val="Normal"/>
    <w:link w:val="TtuloCar"/>
    <w:uiPriority w:val="10"/>
    <w:qFormat/>
    <w:rsid w:val="00117E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7E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7E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7E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17EFF"/>
    <w:pPr>
      <w:spacing w:before="160"/>
      <w:jc w:val="center"/>
    </w:pPr>
    <w:rPr>
      <w:i/>
      <w:iCs/>
      <w:color w:val="404040" w:themeColor="text1" w:themeTint="BF"/>
    </w:rPr>
  </w:style>
  <w:style w:type="character" w:customStyle="1" w:styleId="CitaCar">
    <w:name w:val="Cita Car"/>
    <w:basedOn w:val="Fuentedeprrafopredeter"/>
    <w:link w:val="Cita"/>
    <w:uiPriority w:val="29"/>
    <w:rsid w:val="00117EFF"/>
    <w:rPr>
      <w:i/>
      <w:iCs/>
      <w:color w:val="404040" w:themeColor="text1" w:themeTint="BF"/>
    </w:rPr>
  </w:style>
  <w:style w:type="paragraph" w:styleId="Prrafodelista">
    <w:name w:val="List Paragraph"/>
    <w:basedOn w:val="Normal"/>
    <w:uiPriority w:val="1"/>
    <w:qFormat/>
    <w:rsid w:val="00117EFF"/>
    <w:pPr>
      <w:ind w:left="720"/>
      <w:contextualSpacing/>
    </w:pPr>
  </w:style>
  <w:style w:type="character" w:styleId="nfasisintenso">
    <w:name w:val="Intense Emphasis"/>
    <w:basedOn w:val="Fuentedeprrafopredeter"/>
    <w:uiPriority w:val="21"/>
    <w:qFormat/>
    <w:rsid w:val="00117EFF"/>
    <w:rPr>
      <w:i/>
      <w:iCs/>
      <w:color w:val="0F4761" w:themeColor="accent1" w:themeShade="BF"/>
    </w:rPr>
  </w:style>
  <w:style w:type="paragraph" w:styleId="Citadestacada">
    <w:name w:val="Intense Quote"/>
    <w:basedOn w:val="Normal"/>
    <w:next w:val="Normal"/>
    <w:link w:val="CitadestacadaCar"/>
    <w:uiPriority w:val="30"/>
    <w:qFormat/>
    <w:rsid w:val="00117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17EFF"/>
    <w:rPr>
      <w:i/>
      <w:iCs/>
      <w:color w:val="0F4761" w:themeColor="accent1" w:themeShade="BF"/>
    </w:rPr>
  </w:style>
  <w:style w:type="character" w:styleId="Referenciaintensa">
    <w:name w:val="Intense Reference"/>
    <w:basedOn w:val="Fuentedeprrafopredeter"/>
    <w:uiPriority w:val="32"/>
    <w:qFormat/>
    <w:rsid w:val="00117EFF"/>
    <w:rPr>
      <w:b/>
      <w:bCs/>
      <w:smallCaps/>
      <w:color w:val="0F4761" w:themeColor="accent1" w:themeShade="BF"/>
      <w:spacing w:val="5"/>
    </w:rPr>
  </w:style>
  <w:style w:type="paragraph" w:styleId="Encabezado">
    <w:name w:val="header"/>
    <w:basedOn w:val="Normal"/>
    <w:link w:val="EncabezadoCar"/>
    <w:uiPriority w:val="99"/>
    <w:unhideWhenUsed/>
    <w:rsid w:val="00117EFF"/>
    <w:pPr>
      <w:tabs>
        <w:tab w:val="center" w:pos="4419"/>
        <w:tab w:val="right" w:pos="8838"/>
      </w:tabs>
    </w:pPr>
  </w:style>
  <w:style w:type="character" w:customStyle="1" w:styleId="EncabezadoCar">
    <w:name w:val="Encabezado Car"/>
    <w:basedOn w:val="Fuentedeprrafopredeter"/>
    <w:link w:val="Encabezado"/>
    <w:uiPriority w:val="99"/>
    <w:rsid w:val="00117EFF"/>
  </w:style>
  <w:style w:type="paragraph" w:styleId="Piedepgina">
    <w:name w:val="footer"/>
    <w:basedOn w:val="Normal"/>
    <w:link w:val="PiedepginaCar"/>
    <w:uiPriority w:val="99"/>
    <w:unhideWhenUsed/>
    <w:rsid w:val="00117EFF"/>
    <w:pPr>
      <w:tabs>
        <w:tab w:val="center" w:pos="4419"/>
        <w:tab w:val="right" w:pos="8838"/>
      </w:tabs>
    </w:pPr>
  </w:style>
  <w:style w:type="character" w:customStyle="1" w:styleId="PiedepginaCar">
    <w:name w:val="Pie de página Car"/>
    <w:basedOn w:val="Fuentedeprrafopredeter"/>
    <w:link w:val="Piedepgina"/>
    <w:uiPriority w:val="99"/>
    <w:rsid w:val="00117EFF"/>
  </w:style>
  <w:style w:type="paragraph" w:styleId="Textoindependiente">
    <w:name w:val="Body Text"/>
    <w:basedOn w:val="Normal"/>
    <w:link w:val="TextoindependienteCar"/>
    <w:uiPriority w:val="1"/>
    <w:qFormat/>
    <w:rsid w:val="00117EFF"/>
    <w:rPr>
      <w:sz w:val="20"/>
      <w:szCs w:val="20"/>
    </w:rPr>
  </w:style>
  <w:style w:type="character" w:customStyle="1" w:styleId="TextoindependienteCar">
    <w:name w:val="Texto independiente Car"/>
    <w:basedOn w:val="Fuentedeprrafopredeter"/>
    <w:link w:val="Textoindependiente"/>
    <w:uiPriority w:val="1"/>
    <w:rsid w:val="00117EFF"/>
    <w:rPr>
      <w:rFonts w:ascii="Verdana" w:eastAsia="Verdana" w:hAnsi="Verdana" w:cs="Verdan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Troconis</dc:creator>
  <cp:keywords/>
  <dc:description/>
  <cp:lastModifiedBy>Romina Troconis</cp:lastModifiedBy>
  <cp:revision>2</cp:revision>
  <dcterms:created xsi:type="dcterms:W3CDTF">2024-06-14T18:16:00Z</dcterms:created>
  <dcterms:modified xsi:type="dcterms:W3CDTF">2024-06-14T18:20:00Z</dcterms:modified>
</cp:coreProperties>
</file>